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Lögdeälven käringberget i Bjurholms kommun</w:t>
      </w:r>
    </w:p>
    <w:p>
      <w:r>
        <w:t>Detta dokument behandlar höga naturvärden i avverkningsanmälan Lögdeälven käringberget i Bjurholms kommun. Denna avverkningsanmälan inkom 2025-07-27 och omfattar 534,2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och rödlistade arter.</w:t>
      </w:r>
    </w:p>
    <w:p>
      <w:pPr>
        <w:pStyle w:val="Heading1"/>
      </w:pPr>
      <w:r>
        <w:t>Naturvårdsarter</w:t>
      </w:r>
    </w:p>
    <w:p>
      <w:r>
        <w:t>I avverkningsanmälan har följande 28 naturvårdsarter hittats: goliatmusseron (VU), gräddticka (VU), ringlav (VU), rynkskinn (VU), tofsvipa (VU, §4), buskskvätta (NT, §4), dvärgbägarlav (NT), gammelgransskål (NT), järpe (NT, §4), lunglav (NT), reliktbock (NT), spillkråka (NT, §4), talltita (NT, §4), tallvägstekel (NT), tretåig hackspett (NT, §4), urskogsvedfluga (NT), vedtrappmossa (NT), violettgrå tagellav (NT), dropptaggsvamp (S), skarp dropptaggsvamp (S), enkelbeckasin (§4), gråspett (§4), grönsiska (§4), göktyta (§4), kungsfågel (§4), lavskrika (§4), orre (§4) och tjäder (§4). Av dessa är 18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666979"/>
            <wp:docPr id="1" name="Picture 1"/>
            <wp:cNvGraphicFramePr>
              <a:graphicFrameLocks noChangeAspect="1"/>
            </wp:cNvGraphicFramePr>
            <a:graphic>
              <a:graphicData uri="http://schemas.openxmlformats.org/drawingml/2006/picture">
                <pic:pic>
                  <pic:nvPicPr>
                    <pic:cNvPr id="0" name="Lögdeälven käringberget karta.png"/>
                    <pic:cNvPicPr/>
                  </pic:nvPicPr>
                  <pic:blipFill>
                    <a:blip r:embed="rId16"/>
                    <a:stretch>
                      <a:fillRect/>
                    </a:stretch>
                  </pic:blipFill>
                  <pic:spPr>
                    <a:xfrm>
                      <a:off x="0" y="0"/>
                      <a:ext cx="5486400" cy="5666979"/>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7104986, E 684158 i SWEREF 99 TM.</w:t>
      </w:r>
    </w:p>
    <w:p>
      <w:r>
        <w:rPr>
          <w:b/>
        </w:rPr>
        <w:t>Dvärgbägarlav (NT)</w:t>
      </w:r>
      <w:r>
        <w:t xml:space="preserve"> förekommer över hela Sverige på gammal hård ved, huvudsakligen på tall men i södra Sverige även på ek. Veden utgörs framförallt av grova stubbar, lågor och grenar. Substratet har blivit sällsyntare och nybildning av substrat sker bara i begränsad omfattning. Arten hotas av att grova lågor blir allt sällsyntare i dagens kulturskogar samt att nybildningen av lämpliga substrat går mycket långsamt. En riklig tillgång på gamla tall- eller eklågor måste säkerställas på artens lokaler (SLU Artdatabanken, 2024;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(SLU Artdatabanken, 2024; Nitare &amp; Skogsstyrelsen, 2019).</w:t>
      </w:r>
    </w:p>
    <w:p>
      <w:r>
        <w:rPr>
          <w:b/>
        </w:rPr>
        <w:t>Goliatmusseron (VU)</w:t>
      </w:r>
      <w:r>
        <w:t xml:space="preserve"> är en mykorrhizasvamp knuten till gammal tall på sandig eller grusig mark, främst ljusöppna torra lavtallhedar där svampen växer bland renlavar och lingon. Mager, sandig och brandpräglad tallskog med lång trädkontinuitet bör undantas från trakthyggesbruk och inte kalavverkas. Goliatmusseron är placerad högst upp i Skogsstyrelsens värdepyramid för bedömning av skog med höga naturvärden och den är globalt rödlistad som sårbar (VU) vilket innebär att Sverige har ett internationellt ansvar för arten (SLU Artdatabanken, 2024; Nitare &amp; Skogsstyrelsen, 2019; IUCN, 2020).</w:t>
      </w:r>
    </w:p>
    <w:p>
      <w:r>
        <w:rPr>
          <w:b/>
        </w:rPr>
        <w:t>Gräddticka (VU)</w:t>
      </w:r>
      <w:r>
        <w:t xml:space="preserve"> har klassificerats som en ”gammelskogsindikator” och signalerar granskogar med höga naturvärden. Den kräver miljöer med hög och jämn fuktighet och växtplatserna ligger oftast på näringsrik, fuktig eller blöt mark där lågan och den murkna veden hålls konstant fuktig. Slutavverkning av gammelgranskog är ett direkt hot mot artens existens i landet och artens växtplatser måste undantas från skogsbruk (SLU Artdatabanken, 2024; Nitare &amp; Skogsstyrelsen, 2019).</w:t>
      </w:r>
    </w:p>
    <w:p>
      <w:r>
        <w:rPr>
          <w:b/>
        </w:rPr>
        <w:t>Lunglav (NT)</w:t>
      </w:r>
      <w:r>
        <w:t xml:space="preserve">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(SLU Artdatabanken, 2025; SLU Artdatabanken, 2024; Nitare &amp; Skogsstyrelsen, 2019).</w:t>
      </w:r>
    </w:p>
    <w:p>
      <w:r>
        <w:rPr>
          <w:b/>
        </w:rPr>
        <w:t>Reliktbock (NT)</w:t>
      </w:r>
      <w:r>
        <w:t xml:space="preserve"> är en skalbagge vars larvutveckling sker i tjock, solexponerad skorpbark på gamla, levande tallar. Ofta i träd som under längre tid stått fritt och öppet, t.ex. i kantzoner i odlingslandskap, längs stränder och åsar, men också i gles, gammal tallskog på mager mark. Arten är brandgynnad genom att omgivande småträd och buskar försvinner vid lågintensiva bränder samtidigt som gamla tallar överlever och förblir solexponerade. Minskningstakten för den svenska populationen bedöms vara nära gränsvärdet för Sårbar (VU) och i den europeiska rödlistan är reliktbock rödlistad som Sårbar (VU) vilket innebär att Sverige har ett internationellt ansvar för arten. Gamla tallskogar bör få ett långsiktigt skydd, och inte slutavverkas (SLU Artdatabanken, 2024; IUCN, 2016).</w:t>
      </w:r>
    </w:p>
    <w:p>
      <w:r>
        <w:rPr>
          <w:b/>
        </w:rPr>
        <w:t>Ringlav (VU)</w:t>
      </w:r>
      <w:r>
        <w:t>, rödlistad som sårbar, växer oftast på gran och tall i brandrefugiala halvöppna skogar med hög och jämn luftfuktighet. Under de senaste 50 åren har minskningstakten uppgått till 30 (20–40) %. Hur mycket den kommer att minska i framtiden beror på vad som kommer att ske med de stora förekomster som hittats men som ännu saknar skydd. Arten, som är placerad i toppen på Skogsstyrelsen värdepyramid för bedömning av skog med höga naturvärden, är ytterst känslig för förändringar i mikroklimatet och den överlever inte i skogsbestånd som gränsar till kalhyggen. Lavens förekomster tillsammans med väl tilltagna skyddszoner måste skyddas och undantas från produktionsinriktat skogsbruk (SLU Artdatabanken, 2024; Nitare &amp; Skogsstyrelsen, 2019).</w:t>
      </w:r>
    </w:p>
    <w:p>
      <w:r>
        <w:rPr>
          <w:b/>
        </w:rPr>
        <w:t>Rynkskinn (VU)</w:t>
      </w:r>
      <w:r>
        <w:t>,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(Nitare &amp; Skogsstyrelsen, 2019; SLU Artdatabanken, 2024).</w:t>
      </w:r>
    </w:p>
    <w:p>
      <w:r>
        <w:rPr>
          <w:b/>
        </w:rPr>
        <w:t xml:space="preserve">Vedtrappmossa (NT) </w:t>
      </w:r>
      <w:r>
        <w:t>växer på död ved, främst i gammal granskog. Den förekommer knappast alls i fjällnära barrskogar utan finns i skogslandskapet nedom fjällen och framför allt i landets södra delar är den en mycket bra signalart för barrnaturskog med höga naturvärden. Skogsavverkning och brist på grov död ved i skogen är de allvarligaste hoten och den överlever inte kalhyggesbruk. Lokaler med sluten granskog, tillräckligt stora för att säkerställa ett kontinuerligt tillskott på grova lågor, bör undantas från storskaligt skogsbruk (SLU Artdatabanken, 2024).</w:t>
      </w:r>
    </w:p>
    <w:p>
      <w:r>
        <w:rPr>
          <w:b/>
        </w:rPr>
        <w:t>Violettgrå tagellav (NT)</w:t>
      </w:r>
      <w:r>
        <w:t xml:space="preserve"> växer nästan uteslutande i gamla olikåldriga barrnaturskogar med lång skoglig kontinuitet och är en utmärkt signal på skog med höga naturvärden. Slutavverkning av tidigare aldrig slutavverkad skog (kontinuitetsskog) är det största hotet. Biotopen nyskapas i begränsad omfattning och barrskog äldre än 160 år, där den violettgrå tagellaven huvudsakligen påträffas har minskat med 50% de senaste 50 åren. Lågproduktiv skogsmark där laven förekommer bör undantas från skogsbruk och rika förekomster i äldre granskog bör skyddas. Arten är känslig för uttorkning och det är väsentligt att tillräckligt stora bestånd avsätts (SLU Artdatabanken, 2024; Nitare &amp; Skogsstyrelsen, 2019).</w:t>
      </w:r>
    </w:p>
    <w:p>
      <w:pPr>
        <w:pStyle w:val="Heading1"/>
      </w:pPr>
      <w:r>
        <w:t>Fridlysta arter</w:t>
      </w:r>
    </w:p>
    <w:p>
      <w:r>
        <w:t>Följande fridlysta arter har sina livsmiljöer och växtplatser i den avverkningsanmälda skogen: tofsvipa (VU, §4), buskskvätta (NT, §4), järpe (NT, §4), spillkråka (NT, §4), talltita (NT, §4), tretåig hackspett (NT, §4), enkelbeckasin (§4), gråspett (§4), grönsiska (§4), göktyta (§4), kungsfågel (§4), lavskrika (§4), orre (§4) och tjäder (§4).</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Järpe (NT, §4)</w:t>
      </w:r>
      <w:r>
        <w:t>, rödlistad som nära hotad och prioriterad art i Skogsvårdslagen har häckningsrevir i avverkningsanmälan. Arten har minskat med 25 (10–40) % under de senaste 12 åren och är mycket stationär inom sitt revir som är minst 25 hektar stort. Dess livsmiljöer utgörs av tät barrskog med inblandning av lövträd och en väl utvecklad flerskiktad struktur med bärris och yngre eller undertryckta, täta granar i ett lägre skikt, ofta utmed bäckar och åar inne i den skyddande granskogen. Järpen överlever inte om dess livsmiljö kalavverkas och är även känslig för röjning, gallring och avverkning där unga granar och lövträd inte sparas i tillräcklig omfattning (SLU Artdatabanken, 2022).</w:t>
      </w:r>
    </w:p>
    <w:p>
      <w:r>
        <w:rPr>
          <w:b/>
        </w:rPr>
        <w:t>Lavskrika (§4)</w:t>
      </w:r>
      <w:r>
        <w:t>, prioriterad art i Skogsvårdslagen, är en mycket stationär fågel, som häckar i äldre, slutna och hänglavsrika barrskogar. Reviren är livslånga med hemområden som varierar mellan 50 och 150 ha. Inom ett revir av hög kvalitet finns det som regel ett eller flera kärnområden (1–20 ha) med relativt tät flerskiktad granskog. Arten missgynnas när flerskiktad skog omförs till enskiktade bestånd och även röjning och hård gallring är starkt negativt. Lavskrikan har relativt stora hemområden och försvinner när den äldre skogen fragmenteras, särskilt allvarligt är när kärnområdena avverkas. (Skogsstyrelsen 2016). Populationen har minskat med 20–40 % de senaste 30 åren. Arten försvinner successivt framför allt vid dess utbredningsgränser (SLU Artdatabanken, 2021).</w:t>
      </w: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(Skogsstyrelsen, 2016).</w:t>
      </w:r>
    </w:p>
    <w:p>
      <w:r>
        <w:t>I BILAGA 1 finns mer detaljerad information om ekologi samt krav på livsmiljö hos fridlysta arter.</w:t>
      </w:r>
    </w:p>
    <w:p>
      <w:r>
        <w:br w:type="page"/>
      </w:r>
    </w:p>
    <w:p>
      <w:pPr>
        <w:pStyle w:val="Title"/>
      </w:pPr>
      <w:r>
        <w:t>BILAGA 1 –</w:t>
        <w:br/>
        <w:t>Fridlysta och rödlistade arter</w:t>
      </w:r>
    </w:p>
    <w:p>
      <w:pPr>
        <w:pStyle w:val="Heading1"/>
      </w:pPr>
      <w:r>
        <w:t>Järpe – ekologi samt krav på livsmiljön</w:t>
      </w:r>
    </w:p>
    <w:p>
      <w:r>
        <w:t>Järpe är rödlistad som nära hotad (NT), fridlyst enligt 4§ Artskyddsförordningen och prioriterad art i Skogsvårdslagen. Järpen, som minskat med 25 (10–40) % under de senaste 12 åren, har sina livsmiljöer i tät barrskog med inblandning av lövträd och en väl utvecklad flerskiktad struktur med bärris och yngre eller undertryckta, täta granar i ett lägre skikt, ofta utmed bäckar och åar inne i den skyddande granskogen.</w:t>
      </w:r>
    </w:p>
    <w:p>
      <w:r>
        <w:t>Arten behöver lämpliga skogsbestånd om sammanlagt minst 25 hektar. Den är mycket stationär inom sitt revir och när ett par etablerat sig stannar de så länge miljön är intakt. Den undviker öppen mark och förﬂyttar sig sällan över större öppna myrar eller åkermark, och är därför känslig för fragmentering. Järpen överlever inte om dess livsmiljö kalavverkas och är även känslig för röjning, gallring och avverkning där unga granar och lövträd inte sparas i tillräcklig omfattning (SLU Artdatabanken, 2022).</w:t>
      </w:r>
    </w:p>
    <w:p>
      <w:pPr>
        <w:pStyle w:val="Heading2"/>
      </w:pPr>
      <w:r>
        <w:t>Referenser – järpe</w:t>
      </w:r>
    </w:p>
    <w:p>
      <w:r>
        <w:t xml:space="preserve">SLU Artdatabanken, 2022. </w:t>
      </w:r>
      <w:r>
        <w:rPr>
          <w:i/>
        </w:rPr>
        <w:t xml:space="preserve">Artfaktablad. Naturvård – artfakta. </w:t>
      </w:r>
      <w:r>
        <w:t>SLU Artdatabanken, Uppsala</w:t>
      </w:r>
    </w:p>
    <w:p>
      <w:pPr>
        <w:pStyle w:val="Heading1"/>
      </w:pPr>
      <w:r>
        <w:t>Lavskrika – ekologi samt krav på livsmiljön</w:t>
      </w:r>
    </w:p>
    <w:p>
      <w:r>
        <w:t>Lavskrikan är fridlyst enligt 4 § artskyddsförordningen (2007:845) och ingår i förteckningen över prioriterade arter i Skogsstyrelsens föreskrifter och allmänna råd (SKSFS 2011:7) bilaga 4.</w:t>
      </w:r>
    </w:p>
    <w:p>
      <w:r>
        <w:t xml:space="preserve">I Skogsstyrelsens vägledning för hänsyn till fåglar står bland annat att: </w:t>
      </w:r>
      <w:r>
        <w:rPr>
          <w:i/>
        </w:rPr>
        <w:t>“Reviren är livslånga med hemområden som varierar mellan 50 och 150 ha. Hemområdena har inga fasta gränser utan det handlar mera om de yttre gränserna för familjegruppernas rörelser. Lavskrikan undviker att förflytta sig över stora öppna områden och hemområdesstorleken är därför större i områden fragmenterade av hyggen och yngre skog än i områden med i sammanhängande äldre skog. Det finns studier som antyder att det inom ett revir bör finnas maximalt 15 % öppna ytor och ungskog. Inom ett revir av hög kvalitet finns det som regel ett eller flera kärnområden (1–20 ha) med relativt tät flerskiktad granskog.”</w:t>
      </w:r>
      <w:r>
        <w:t xml:space="preserve"> Vidare att: </w:t>
      </w:r>
      <w:r>
        <w:rPr>
          <w:i/>
        </w:rPr>
        <w:t>“Arten missgynnas när flerskiktad skog omförs till enskiktade bestånd. Även skogsskötsel med återkommande röjning och hård gallring är starkt negativt. Lavskrikan har relativt stora hemområden och försvinner när den äldre skogen fragmenteras, särskilt allvarligt är när kärnområdena avverkas.”</w:t>
      </w:r>
      <w:r>
        <w:t xml:space="preserve"> (Skogsstyrelsen 2016).</w:t>
      </w:r>
    </w:p>
    <w:p>
      <w:r>
        <w:t>Populationen har minskat med 20–40 % de senaste 30 åren, men i Svensk Fågeltaxerings standardrutter varierar antalet kraftigt och ingen minskning kan skönjas de senaste 18 åren. Arten försvinner successivt framför allt vid dess utbredningsgränser (SLU Artdatabanken, 2022).</w:t>
      </w:r>
    </w:p>
    <w:p>
      <w:pPr>
        <w:pStyle w:val="Heading2"/>
      </w:pPr>
      <w:r>
        <w:t>Referenser – lavskrika</w:t>
      </w:r>
    </w:p>
    <w:p>
      <w:r>
        <w:t xml:space="preserve">Skogsstyrelsen, 2016. </w:t>
      </w:r>
      <w:r>
        <w:rPr>
          <w:i/>
        </w:rPr>
        <w:t xml:space="preserve">Vägledning för hänsyn till fåglar – lavskrika. </w:t>
      </w:r>
      <w:r>
        <w:t>https://www.skogsstyrelsen.se/globalassets/lag-och-tillsyn/artskydd/vagledningar-for-hansyn-till-faglar/lavskrika-vagledning-hansyn.pdf</w:t>
      </w:r>
    </w:p>
    <w:p>
      <w:r>
        <w:t xml:space="preserve">SLU Artdatabanken, 2021. </w:t>
      </w:r>
      <w:r>
        <w:rPr>
          <w:i/>
        </w:rPr>
        <w:t xml:space="preserve">Artfaktablad. Naturvård – artfakta. </w:t>
      </w:r>
      <w:r>
        <w:t>SLU Artdatabanken, Uppsala</w:t>
      </w:r>
    </w:p>
    <w:p>
      <w:pPr>
        <w:pStyle w:val="Heading1"/>
      </w:pPr>
      <w:r>
        <w:t>Lunglav – ekologi samt krav på livsmiljön</w:t>
      </w:r>
    </w:p>
    <w:p>
      <w:r>
        <w:t>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Spillkråka – ekologi samt krav på livsmiljön</w:t>
      </w:r>
    </w:p>
    <w:p>
      <w:r>
        <w:t>Spillkråka (NT) är rödlistad som nära hotad, fridlyst enligt §4 Artskyddsförordningen och ingår i bilaga 1 i EU:s fågeldirektiv. Spillkråka lever i både barr- och blandskog liksom i ren lövskog. De tätaste populationerna tenderar att finnas i äldre, variationsrik blandskog med gott om död ved och gamla träd.</w:t>
      </w:r>
    </w:p>
    <w:p>
      <w:r>
        <w:t>Varje par utnyttjar 400–1000 hektar skog beroende på skogens kvalitet. En minskning av populationen pågår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Talltita – ekologi samt krav på livsmiljön</w:t>
      </w:r>
    </w:p>
    <w:p>
      <w:r>
        <w:t>Talltita är rödlistad som NT, fridlyst och prioriterad art i Skogsvårdslagen. Den omfattas av EU:s fågeldirektiv. Arten har minskat kraftigt de senaste 30 åren och minskningstakten innevarande 10-årsperiod beräknas till 20 (10–30) % (SLU Artdatabanken, 2022).</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For. Ecol. Manage. 319, 169–175.</w:t>
      </w:r>
    </w:p>
    <w:p>
      <w:r>
        <w:t xml:space="preserve">Ekman, J., 1979. </w:t>
      </w:r>
      <w:r>
        <w:rPr>
          <w:i/>
        </w:rPr>
        <w:t xml:space="preserve">Coherence, composition and territories of winter social groups of the Willow Tit Parus montanus and the Crested Tit P. cristatus. </w:t>
      </w:r>
      <w:r>
        <w:t>Ornis Scandinavica, 10, pp 56–68</w:t>
      </w:r>
    </w:p>
    <w:p>
      <w:r>
        <w:t xml:space="preserve">Griesser, M., Nystrand, M., Eggers, S., Ekman, J., 2007. </w:t>
      </w:r>
      <w:r>
        <w:rPr>
          <w:i/>
        </w:rPr>
        <w:t xml:space="preserve">Impact of forestry practices on fitness correlates and population productivity in an open-nesting bird species. </w:t>
      </w:r>
      <w:r>
        <w:t>Conserv. Biol. 21, 767–774. https://doi.org/10.1111/j.1523- 1739.2007.00675.x</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SLU Artdatabanken, Uppsala</w:t>
      </w:r>
    </w:p>
    <w:p>
      <w:pPr>
        <w:pStyle w:val="Heading1"/>
      </w:pPr>
      <w:r>
        <w:t>Tjäder – ekologi samt krav på livsmiljön</w:t>
      </w:r>
    </w:p>
    <w:p>
      <w:r>
        <w:t>Tjäder (§4) är en utpräglad skogsfågel knuten till större sammanhängande barrskogsområden. Tupparna och hönorna utnyttjar till viss del olika miljöer, och habitatvalet varierar dessutom mellan olika delar av året. För att det ska finnas livskraftiga tjäderbestånd krävs funktionella skogslandskap med en blandning av uppvuxen, gles och luckig skog, täta sumpskogar, myrar och andra små våtmarker (Skogsstyrelsen, 2019).</w:t>
      </w:r>
    </w:p>
    <w:p>
      <w:r>
        <w:t>Arten försvinner när skogen fragmenteras och den sammanlagda arealen hyggen och andra öppna områden blir för stor. Ett småskaligt och försiktigt virkesuttag genom hyggesfria metoder kan i vissa fall vara möjligt i området inom 200 m från lekcentrum. Längre ut från lekcentrum, inom 200–500 m bör den avverkade ytan inte överskrida 1 hektar för att undvika alltför stora och snabba förändringar (Skogsstyrelsen, 2019).</w:t>
      </w:r>
    </w:p>
    <w:p>
      <w:pPr>
        <w:pStyle w:val="Heading2"/>
      </w:pPr>
      <w:r>
        <w:t>Referenser – tjäder</w:t>
      </w:r>
    </w:p>
    <w:p>
      <w:r>
        <w:t xml:space="preserve">Skogsstyrelsen, 2019. </w:t>
      </w:r>
      <w:r>
        <w:rPr>
          <w:i/>
        </w:rPr>
        <w:t xml:space="preserve">Vägledning för hänsyn till fåglar – tjäder. </w:t>
      </w:r>
      <w:r>
        <w:t>https://www.skogsstyrelsen.se/globalassets/lag-och-tillsyn/artskydd/vagledningar-for-hansyn-till-faglar/tjader-vagledning-hansyn2.pdf</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2025-07-27</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